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3C7FFA24"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FE392A" w:rsidRPr="001E7C19">
        <w:rPr>
          <w:b/>
          <w:bCs/>
        </w:rPr>
        <w:t>Harvendusraie- ja kokkuveoteenuste tellimine Kirde regioonis 2024-2 (Harju</w:t>
      </w:r>
      <w:r w:rsidR="004E2797" w:rsidRPr="001E7C19">
        <w:rPr>
          <w:b/>
          <w:bCs/>
        </w:rPr>
        <w:t xml:space="preserve"> piirkond</w:t>
      </w:r>
      <w:r w:rsidR="00FE392A" w:rsidRPr="001E7C19">
        <w:rPr>
          <w:b/>
          <w:bCs/>
        </w:rPr>
        <w:t>)</w:t>
      </w:r>
      <w:r w:rsidR="006508E1" w:rsidRPr="001E7C19">
        <w:t>“</w:t>
      </w:r>
      <w:r w:rsidR="006065E1" w:rsidRPr="001E7C19">
        <w:t xml:space="preserve"> (viitenu</w:t>
      </w:r>
      <w:r w:rsidR="006D2C67" w:rsidRPr="001E7C19">
        <w:t>m</w:t>
      </w:r>
      <w:r w:rsidR="006065E1" w:rsidRPr="001E7C19">
        <w:t xml:space="preserve">ber </w:t>
      </w:r>
      <w:r w:rsidR="002C3B16" w:rsidRPr="001E7C19">
        <w:t>281227</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3F38E50" w14:textId="77777777" w:rsidR="00BE7FB8" w:rsidRPr="001E7C19" w:rsidRDefault="00BE7FB8" w:rsidP="001E7C19">
      <w:pPr>
        <w:pStyle w:val="11"/>
        <w:rPr>
          <w:rFonts w:ascii="Times New Roman" w:hAnsi="Times New Roman" w:cs="Times New Roman"/>
          <w:sz w:val="24"/>
          <w:szCs w:val="24"/>
        </w:rPr>
      </w:pPr>
      <w:bookmarkStart w:id="1" w:name="_Toc374972371"/>
      <w:r w:rsidRPr="001E7C19">
        <w:rPr>
          <w:rFonts w:ascii="Times New Roman" w:hAnsi="Times New Roman" w:cs="Times New Roman"/>
          <w:sz w:val="24"/>
          <w:szCs w:val="24"/>
        </w:rPr>
        <w:t>Raamlepingud sõlmitakse erisusena RHS sätestatud kuni 4-aastasest tähtajast pikema tähtajaga:</w:t>
      </w:r>
    </w:p>
    <w:p w14:paraId="71A7718B" w14:textId="77777777" w:rsidR="00BE7FB8" w:rsidRPr="001E7C19" w:rsidRDefault="00BE7FB8"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3FBBE392" w14:textId="77777777" w:rsidR="00BE7FB8" w:rsidRPr="00FD1D74" w:rsidRDefault="00BE7FB8"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raidmete ja laasimata  tüveste kokkuveo korral tasutakse töövõtjale vahelaos mõõdetud kogusest esialgu 80% eest. Hiljemalt 24 kuu jooksul kokkuveotööde lõpetamisest tasutakse töövõtjale raidmete ja laasimata tüveste hakkimise järgselt hakkimise tulemusena täpsemalt selgunud koguse ja juba eelnevalt tasustatud koguse vahe ulatuses. Seetõttu on vajalik </w:t>
      </w:r>
      <w:r w:rsidRPr="00FD1D74">
        <w:rPr>
          <w:rFonts w:ascii="Times New Roman" w:hAnsi="Times New Roman" w:cs="Times New Roman"/>
          <w:sz w:val="24"/>
          <w:szCs w:val="24"/>
        </w:rPr>
        <w:t xml:space="preserve">lepingu pikem kehtivusaeg ka peale raie-ja kokkuveoteenuste tellimise ja osutamise aja lõppu, võimaldamaks ka teenuste tellimise perioodi lõpus kokkuveetud raidmete ja laasimata tüveste nõuetekohast kokkuveojärgset ja hakkimiseelset kuivamist. </w:t>
      </w:r>
    </w:p>
    <w:bookmarkEnd w:id="1"/>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7708DBC4"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(RAAMLEPINGU)</w:t>
      </w:r>
      <w:r w:rsidRPr="00FD1D74">
        <w:rPr>
          <w:rFonts w:ascii="Times New Roman" w:hAnsi="Times New Roman" w:cs="Times New Roman"/>
          <w:b/>
          <w:sz w:val="24"/>
          <w:szCs w:val="24"/>
        </w:rPr>
        <w:t xml:space="preserve"> ESE</w:t>
      </w:r>
    </w:p>
    <w:p w14:paraId="75AB9BFB" w14:textId="4547A07B" w:rsidR="00021DE1" w:rsidRPr="00FD1D74" w:rsidRDefault="00A70409" w:rsidP="001E7C19">
      <w:pPr>
        <w:pStyle w:val="11"/>
        <w:ind w:left="431" w:hanging="431"/>
        <w:rPr>
          <w:rFonts w:ascii="Times New Roman" w:hAnsi="Times New Roman" w:cs="Times New Roman"/>
          <w:sz w:val="24"/>
          <w:szCs w:val="24"/>
        </w:rPr>
      </w:pPr>
      <w:bookmarkStart w:id="2" w:name="_Toc66500794"/>
      <w:r w:rsidRPr="00FD1D74">
        <w:rPr>
          <w:rFonts w:ascii="Times New Roman" w:hAnsi="Times New Roman" w:cs="Times New Roman"/>
          <w:sz w:val="24"/>
          <w:szCs w:val="24"/>
        </w:rPr>
        <w:t xml:space="preserve">Käesoleva hanke </w:t>
      </w:r>
      <w:r w:rsidR="00021DE1" w:rsidRPr="00FD1D74">
        <w:rPr>
          <w:rFonts w:ascii="Times New Roman" w:hAnsi="Times New Roman" w:cs="Times New Roman"/>
          <w:sz w:val="24"/>
          <w:szCs w:val="24"/>
        </w:rPr>
        <w:t>tulemusel tellitakse masinraiena teostatava raiena harvendus- jm raie- ning kokkuveoteenuseid hankelepingu (raamlepingu) alusel alates 15.</w:t>
      </w:r>
      <w:r w:rsidR="00FD1D74">
        <w:rPr>
          <w:rFonts w:ascii="Times New Roman" w:hAnsi="Times New Roman" w:cs="Times New Roman"/>
          <w:sz w:val="24"/>
          <w:szCs w:val="24"/>
        </w:rPr>
        <w:t>08</w:t>
      </w:r>
      <w:r w:rsidR="00021DE1" w:rsidRPr="00FD1D74">
        <w:rPr>
          <w:rFonts w:ascii="Times New Roman" w:hAnsi="Times New Roman" w:cs="Times New Roman"/>
          <w:sz w:val="24"/>
          <w:szCs w:val="24"/>
        </w:rPr>
        <w:t>.2024 kuni 30.06.2029.a või kuni maksimaalse kogumaksumuse täitumiseni, hankelepingu  (raamlepingu) kogu kehtivusaeg on alates sõlmimisest kuni 30.06.2031.a</w:t>
      </w:r>
      <w:r w:rsidRPr="00FD1D74">
        <w:rPr>
          <w:rFonts w:ascii="Times New Roman" w:hAnsi="Times New Roman" w:cs="Times New Roman"/>
          <w:sz w:val="24"/>
          <w:szCs w:val="24"/>
        </w:rPr>
        <w:t xml:space="preserve">. </w:t>
      </w:r>
    </w:p>
    <w:p w14:paraId="4FD8FECA" w14:textId="42EA8D02" w:rsidR="007873A4" w:rsidRPr="00FD1D74" w:rsidRDefault="00673202" w:rsidP="001E7C19">
      <w:pPr>
        <w:pStyle w:val="11"/>
        <w:rPr>
          <w:rFonts w:ascii="Times New Roman" w:hAnsi="Times New Roman" w:cs="Times New Roman"/>
          <w:sz w:val="24"/>
          <w:szCs w:val="24"/>
        </w:rPr>
      </w:pPr>
      <w:r w:rsidRPr="00FD1D74">
        <w:rPr>
          <w:rFonts w:ascii="Times New Roman" w:hAnsi="Times New Roman" w:cs="Times New Roman"/>
          <w:sz w:val="24"/>
          <w:szCs w:val="24"/>
        </w:rPr>
        <w:t>Võimalusel ja vajadusel võib teenuse tellimisega alustada enne 15.</w:t>
      </w:r>
      <w:r w:rsidR="00FD1D74">
        <w:rPr>
          <w:rFonts w:ascii="Times New Roman" w:hAnsi="Times New Roman" w:cs="Times New Roman"/>
          <w:sz w:val="24"/>
          <w:szCs w:val="24"/>
        </w:rPr>
        <w:t>08</w:t>
      </w:r>
      <w:r w:rsidRPr="00FD1D74">
        <w:rPr>
          <w:rFonts w:ascii="Times New Roman" w:hAnsi="Times New Roman" w:cs="Times New Roman"/>
          <w:sz w:val="24"/>
          <w:szCs w:val="24"/>
        </w:rPr>
        <w:t>.2024 Hankemenetluse kulgemise pikenemisel üle 15.</w:t>
      </w:r>
      <w:r w:rsidR="00FD1D74">
        <w:rPr>
          <w:rFonts w:ascii="Times New Roman" w:hAnsi="Times New Roman" w:cs="Times New Roman"/>
          <w:sz w:val="24"/>
          <w:szCs w:val="24"/>
        </w:rPr>
        <w:t>08</w:t>
      </w:r>
      <w:r w:rsidRPr="00FD1D74">
        <w:rPr>
          <w:rFonts w:ascii="Times New Roman" w:hAnsi="Times New Roman" w:cs="Times New Roman"/>
          <w:sz w:val="24"/>
          <w:szCs w:val="24"/>
        </w:rPr>
        <w:t>.2024, võib lepingu sõlmida ja teenust osutada hiljem.</w:t>
      </w:r>
      <w:r w:rsidR="007873A4" w:rsidRPr="00FD1D74">
        <w:rPr>
          <w:rFonts w:ascii="Times New Roman" w:hAnsi="Times New Roman" w:cs="Times New Roman"/>
          <w:sz w:val="24"/>
          <w:szCs w:val="24"/>
        </w:rPr>
        <w:t xml:space="preserve"> Hankelepingu sõlmimise viibimisel  lükkub vastavas mõistlikus ulatuses edasi ka teenuste osutamiseks kasutatava tehnika ülevaatamiseks, täiendavaks nõuetele vastavuse kontrollimiseks ja vajadusel kalibreerimiseks esitamise tähtaeg. </w:t>
      </w:r>
    </w:p>
    <w:p w14:paraId="5B1154C8" w14:textId="73CCBE05" w:rsidR="002C2562" w:rsidRPr="00FD1D74" w:rsidRDefault="002C2562" w:rsidP="001E7C19">
      <w:pPr>
        <w:pStyle w:val="11"/>
        <w:rPr>
          <w:rFonts w:ascii="Times New Roman" w:hAnsi="Times New Roman" w:cs="Times New Roman"/>
          <w:sz w:val="24"/>
          <w:szCs w:val="24"/>
        </w:rPr>
      </w:pPr>
      <w:r w:rsidRPr="00FD1D74">
        <w:rPr>
          <w:rFonts w:ascii="Times New Roman" w:hAnsi="Times New Roman" w:cs="Times New Roman"/>
          <w:sz w:val="24"/>
          <w:szCs w:val="24"/>
        </w:rPr>
        <w:t xml:space="preserve">Raamlepingu esemeks on masinraiena teostatava peamiselt harvendus- jm raieteenuse ja sellise raie järgse kokkuveoteenuse osutamine, aga samuti vastavalt raamlepingus toodud tingimustele muude raieteenuste ja kokkuveoteenuste ja nendega seotud teenuste osutamine ühe (1) harvesteri ja forvarderi komplektiga. Hankija arvestab, et selles hankes on tavapärane ühe harvesteri ja </w:t>
      </w:r>
      <w:r w:rsidRPr="00FD1D74">
        <w:rPr>
          <w:rFonts w:ascii="Times New Roman" w:hAnsi="Times New Roman" w:cs="Times New Roman"/>
          <w:sz w:val="24"/>
          <w:szCs w:val="24"/>
        </w:rPr>
        <w:lastRenderedPageBreak/>
        <w:t xml:space="preserve">forvarderi komplektiga hankes etteantud tingimustel osutada raie- ja kokkuveoteenust põhilistel raiekuudel (jaanuar kuni 15. aprill; juuli-detsember) keskmiselt ligikaudu üks tuhat viissada tihumeetrit (1500 tm) kalendrikuus ning sellisest mahust lähtutakse tööajagraafikute koostamisel. Tellitava teenuse maht on 5 aasta jooksul ~ 72 000 tm ühe harvesteri ja forvarderi komplekti kohta. </w:t>
      </w:r>
      <w:r w:rsidR="002A4983" w:rsidRPr="00FD1D74">
        <w:rPr>
          <w:rFonts w:ascii="Times New Roman" w:hAnsi="Times New Roman" w:cs="Times New Roman"/>
          <w:sz w:val="24"/>
          <w:szCs w:val="24"/>
        </w:rPr>
        <w:t xml:space="preserve"> </w:t>
      </w:r>
    </w:p>
    <w:p w14:paraId="77CC4498" w14:textId="77777777" w:rsidR="00071EC2" w:rsidRPr="00FD1D74" w:rsidRDefault="00071EC2" w:rsidP="001E7C19">
      <w:pPr>
        <w:pStyle w:val="11"/>
        <w:rPr>
          <w:rFonts w:ascii="Times New Roman" w:hAnsi="Times New Roman" w:cs="Times New Roman"/>
          <w:sz w:val="24"/>
          <w:szCs w:val="24"/>
        </w:rPr>
      </w:pPr>
      <w:r w:rsidRPr="00FD1D74">
        <w:rPr>
          <w:rFonts w:ascii="Times New Roman" w:hAnsi="Times New Roman" w:cs="Times New Roman"/>
          <w:bCs/>
          <w:sz w:val="24"/>
          <w:szCs w:val="24"/>
        </w:rPr>
        <w:t xml:space="preserve">Tööde teostamise piirkonnaks on </w:t>
      </w:r>
      <w:r w:rsidRPr="00FD1D74">
        <w:rPr>
          <w:rFonts w:ascii="Times New Roman" w:hAnsi="Times New Roman" w:cs="Times New Roman"/>
          <w:b/>
          <w:sz w:val="24"/>
          <w:szCs w:val="24"/>
        </w:rPr>
        <w:t>RMK  Kirde regiooni Harju piirkonna</w:t>
      </w:r>
      <w:r w:rsidRPr="00FD1D74">
        <w:rPr>
          <w:rFonts w:ascii="Times New Roman" w:hAnsi="Times New Roman" w:cs="Times New Roman"/>
          <w:bCs/>
          <w:sz w:val="24"/>
          <w:szCs w:val="24"/>
        </w:rPr>
        <w:t xml:space="preserve"> territoorium, aga hankija vajadusel kogu Eesti. Piirkonna määratlemine hankedokumendis tähendab eelkõige, et valdav osa teenustest osutatakse nimetatud piirkonnas, kuid vajadusel ka mujal Eestis, eelkõige samas või lähedases piirkonnas.</w:t>
      </w:r>
    </w:p>
    <w:p w14:paraId="7D5D1D26" w14:textId="1ED19407" w:rsidR="00F6379D" w:rsidRPr="00FD1D74" w:rsidRDefault="00FB15BD" w:rsidP="001E7C19">
      <w:pPr>
        <w:pStyle w:val="11"/>
        <w:rPr>
          <w:rFonts w:ascii="Times New Roman" w:hAnsi="Times New Roman" w:cs="Times New Roman"/>
          <w:sz w:val="24"/>
          <w:szCs w:val="24"/>
        </w:rPr>
      </w:pPr>
      <w:r w:rsidRPr="00FD1D74">
        <w:rPr>
          <w:rFonts w:ascii="Times New Roman" w:hAnsi="Times New Roman" w:cs="Times New Roman"/>
          <w:sz w:val="24"/>
          <w:szCs w:val="24"/>
        </w:rPr>
        <w:t xml:space="preserve">Raamlepingu </w:t>
      </w:r>
      <w:r w:rsidR="007453E2" w:rsidRPr="00FD1D74">
        <w:rPr>
          <w:rFonts w:ascii="Times New Roman" w:hAnsi="Times New Roman" w:cs="Times New Roman"/>
          <w:sz w:val="24"/>
          <w:szCs w:val="24"/>
        </w:rPr>
        <w:t>eeldatav maksumus on 2 560 000 (kaks miljonit viis</w:t>
      </w:r>
      <w:r w:rsidR="0081681A" w:rsidRPr="00FD1D74">
        <w:rPr>
          <w:rFonts w:ascii="Times New Roman" w:hAnsi="Times New Roman" w:cs="Times New Roman"/>
          <w:sz w:val="24"/>
          <w:szCs w:val="24"/>
        </w:rPr>
        <w:t>s</w:t>
      </w:r>
      <w:r w:rsidR="007453E2" w:rsidRPr="00FD1D74">
        <w:rPr>
          <w:rFonts w:ascii="Times New Roman" w:hAnsi="Times New Roman" w:cs="Times New Roman"/>
          <w:sz w:val="24"/>
          <w:szCs w:val="24"/>
        </w:rPr>
        <w:t>ada</w:t>
      </w:r>
      <w:r w:rsidR="0081681A" w:rsidRPr="00FD1D74">
        <w:rPr>
          <w:rFonts w:ascii="Times New Roman" w:hAnsi="Times New Roman" w:cs="Times New Roman"/>
          <w:sz w:val="24"/>
          <w:szCs w:val="24"/>
        </w:rPr>
        <w:t xml:space="preserve"> </w:t>
      </w:r>
      <w:r w:rsidR="007453E2" w:rsidRPr="00FD1D74">
        <w:rPr>
          <w:rFonts w:ascii="Times New Roman" w:hAnsi="Times New Roman" w:cs="Times New Roman"/>
          <w:sz w:val="24"/>
          <w:szCs w:val="24"/>
        </w:rPr>
        <w:t>kuuskümmend tuhat)</w:t>
      </w:r>
      <w:r w:rsidR="0081681A" w:rsidRPr="00FD1D74">
        <w:rPr>
          <w:rFonts w:ascii="Times New Roman" w:hAnsi="Times New Roman" w:cs="Times New Roman"/>
          <w:sz w:val="24"/>
          <w:szCs w:val="24"/>
        </w:rPr>
        <w:t xml:space="preserve"> eurot</w:t>
      </w:r>
      <w:r w:rsidR="00BE1D82" w:rsidRPr="00FD1D74">
        <w:rPr>
          <w:rFonts w:ascii="Times New Roman" w:hAnsi="Times New Roman" w:cs="Times New Roman"/>
          <w:sz w:val="24"/>
          <w:szCs w:val="24"/>
        </w:rPr>
        <w:t>, millele lisandub käibemaks,</w:t>
      </w:r>
      <w:r w:rsidR="0081681A" w:rsidRPr="00FD1D74">
        <w:rPr>
          <w:rFonts w:ascii="Times New Roman" w:hAnsi="Times New Roman" w:cs="Times New Roman"/>
          <w:sz w:val="24"/>
          <w:szCs w:val="24"/>
        </w:rPr>
        <w:t xml:space="preserve"> ja</w:t>
      </w:r>
      <w:r w:rsidR="00BE1D82" w:rsidRPr="00FD1D74">
        <w:rPr>
          <w:rFonts w:ascii="Times New Roman" w:hAnsi="Times New Roman" w:cs="Times New Roman"/>
          <w:sz w:val="24"/>
          <w:szCs w:val="24"/>
        </w:rPr>
        <w:t xml:space="preserve"> võimalik</w:t>
      </w:r>
      <w:r w:rsidR="0081681A" w:rsidRPr="00FD1D74">
        <w:rPr>
          <w:rFonts w:ascii="Times New Roman" w:hAnsi="Times New Roman" w:cs="Times New Roman"/>
          <w:sz w:val="24"/>
          <w:szCs w:val="24"/>
        </w:rPr>
        <w:t xml:space="preserve"> </w:t>
      </w:r>
      <w:r w:rsidRPr="00FD1D74">
        <w:rPr>
          <w:rFonts w:ascii="Times New Roman" w:hAnsi="Times New Roman" w:cs="Times New Roman"/>
          <w:sz w:val="24"/>
          <w:szCs w:val="24"/>
        </w:rPr>
        <w:t xml:space="preserve">maksimaalne kogumaksumus on kuni </w:t>
      </w:r>
      <w:r w:rsidR="008F2989" w:rsidRPr="00FD1D74">
        <w:rPr>
          <w:rFonts w:ascii="Times New Roman" w:hAnsi="Times New Roman" w:cs="Times New Roman"/>
          <w:sz w:val="24"/>
          <w:szCs w:val="24"/>
        </w:rPr>
        <w:t>3 080</w:t>
      </w:r>
      <w:r w:rsidRPr="00FD1D74">
        <w:rPr>
          <w:rFonts w:ascii="Times New Roman" w:hAnsi="Times New Roman" w:cs="Times New Roman"/>
          <w:sz w:val="24"/>
          <w:szCs w:val="24"/>
        </w:rPr>
        <w:t xml:space="preserve"> 000 (</w:t>
      </w:r>
      <w:r w:rsidR="008F2989" w:rsidRPr="00FD1D74">
        <w:rPr>
          <w:rFonts w:ascii="Times New Roman" w:hAnsi="Times New Roman" w:cs="Times New Roman"/>
          <w:sz w:val="24"/>
          <w:szCs w:val="24"/>
        </w:rPr>
        <w:t>kolm</w:t>
      </w:r>
      <w:r w:rsidRPr="00FD1D74">
        <w:rPr>
          <w:rFonts w:ascii="Times New Roman" w:hAnsi="Times New Roman" w:cs="Times New Roman"/>
          <w:sz w:val="24"/>
          <w:szCs w:val="24"/>
        </w:rPr>
        <w:t xml:space="preserve"> miljonit</w:t>
      </w:r>
      <w:r w:rsidR="008F2989" w:rsidRPr="00FD1D74">
        <w:rPr>
          <w:rFonts w:ascii="Times New Roman" w:hAnsi="Times New Roman" w:cs="Times New Roman"/>
          <w:sz w:val="24"/>
          <w:szCs w:val="24"/>
        </w:rPr>
        <w:t xml:space="preserve"> kaheksakümmend tuhat</w:t>
      </w:r>
      <w:r w:rsidRPr="00FD1D74">
        <w:rPr>
          <w:rFonts w:ascii="Times New Roman" w:hAnsi="Times New Roman" w:cs="Times New Roman"/>
          <w:sz w:val="24"/>
          <w:szCs w:val="24"/>
        </w:rPr>
        <w:t>) eurot, millele lisandub käibemaks. Hankija ei ole kohustatud tellima töid kogu nimetatud summa ulatuses</w:t>
      </w:r>
      <w:r w:rsidR="00F856FF" w:rsidRPr="00FD1D74">
        <w:rPr>
          <w:rFonts w:ascii="Times New Roman" w:hAnsi="Times New Roman" w:cs="Times New Roman"/>
          <w:sz w:val="24"/>
          <w:szCs w:val="24"/>
        </w:rPr>
        <w:t>, töid tellitakse vastavalt reaalsele vajadusele ja olemasolevatele võimalustele</w:t>
      </w:r>
      <w:r w:rsidRPr="00FD1D74">
        <w:rPr>
          <w:rFonts w:ascii="Times New Roman" w:hAnsi="Times New Roman" w:cs="Times New Roman"/>
          <w:sz w:val="24"/>
          <w:szCs w:val="24"/>
        </w:rPr>
        <w:t xml:space="preserve">. Raamlepingu lõplik maksumus kujuneb </w:t>
      </w:r>
      <w:r w:rsidR="00950941" w:rsidRPr="00FD1D74">
        <w:rPr>
          <w:rFonts w:ascii="Times New Roman" w:hAnsi="Times New Roman" w:cs="Times New Roman"/>
          <w:sz w:val="24"/>
          <w:szCs w:val="24"/>
        </w:rPr>
        <w:t xml:space="preserve">vastavalt </w:t>
      </w:r>
      <w:r w:rsidRPr="00FD1D74">
        <w:rPr>
          <w:rFonts w:ascii="Times New Roman" w:hAnsi="Times New Roman" w:cs="Times New Roman"/>
          <w:sz w:val="24"/>
          <w:szCs w:val="24"/>
        </w:rPr>
        <w:t xml:space="preserve">raamlepingu kehtivuse ajal </w:t>
      </w:r>
      <w:r w:rsidR="00D756AC" w:rsidRPr="00FD1D74">
        <w:rPr>
          <w:rFonts w:ascii="Times New Roman" w:hAnsi="Times New Roman" w:cs="Times New Roman"/>
          <w:sz w:val="24"/>
          <w:szCs w:val="24"/>
        </w:rPr>
        <w:t>tellitud teenuste tegeli</w:t>
      </w:r>
      <w:r w:rsidR="00950941" w:rsidRPr="00FD1D74">
        <w:rPr>
          <w:rFonts w:ascii="Times New Roman" w:hAnsi="Times New Roman" w:cs="Times New Roman"/>
          <w:sz w:val="24"/>
          <w:szCs w:val="24"/>
        </w:rPr>
        <w:t>kule mahule</w:t>
      </w:r>
      <w:r w:rsidRPr="00FD1D74">
        <w:rPr>
          <w:rFonts w:ascii="Times New Roman" w:hAnsi="Times New Roman" w:cs="Times New Roman"/>
          <w:sz w:val="24"/>
          <w:szCs w:val="24"/>
        </w:rPr>
        <w:t>.</w:t>
      </w:r>
    </w:p>
    <w:p w14:paraId="135324A1" w14:textId="77777777" w:rsidR="00905A10" w:rsidRPr="00FD1D74" w:rsidRDefault="00905A10" w:rsidP="00905A10">
      <w:pPr>
        <w:pStyle w:val="11"/>
        <w:numPr>
          <w:ilvl w:val="0"/>
          <w:numId w:val="0"/>
        </w:numPr>
        <w:ind w:left="432"/>
        <w:rPr>
          <w:rFonts w:ascii="Times New Roman" w:hAnsi="Times New Roman" w:cs="Times New Roman"/>
          <w:sz w:val="24"/>
          <w:szCs w:val="24"/>
        </w:rPr>
      </w:pPr>
    </w:p>
    <w:p w14:paraId="4B10E42B" w14:textId="77777777" w:rsidR="00905A10" w:rsidRPr="00FD1D74" w:rsidRDefault="00905A10" w:rsidP="00905A10">
      <w:pPr>
        <w:pStyle w:val="11"/>
        <w:numPr>
          <w:ilvl w:val="0"/>
          <w:numId w:val="6"/>
        </w:numPr>
        <w:rPr>
          <w:rFonts w:ascii="Times New Roman" w:hAnsi="Times New Roman" w:cs="Times New Roman"/>
          <w:b/>
          <w:bCs/>
          <w:sz w:val="24"/>
          <w:szCs w:val="24"/>
        </w:rPr>
      </w:pPr>
      <w:r w:rsidRPr="00FD1D74">
        <w:rPr>
          <w:rFonts w:ascii="Times New Roman" w:hAnsi="Times New Roman" w:cs="Times New Roman"/>
          <w:b/>
          <w:bCs/>
          <w:sz w:val="24"/>
          <w:szCs w:val="24"/>
        </w:rPr>
        <w:t>TEHNILINE KIRJELDUS</w:t>
      </w:r>
    </w:p>
    <w:p w14:paraId="620E2AFF" w14:textId="77777777" w:rsidR="00905A10" w:rsidRPr="00FD1D74" w:rsidRDefault="00905A10" w:rsidP="00905A10">
      <w:pPr>
        <w:pStyle w:val="11"/>
        <w:numPr>
          <w:ilvl w:val="0"/>
          <w:numId w:val="0"/>
        </w:numPr>
        <w:ind w:left="432"/>
        <w:rPr>
          <w:rFonts w:ascii="Times New Roman" w:hAnsi="Times New Roman" w:cs="Times New Roman"/>
          <w:sz w:val="24"/>
          <w:szCs w:val="24"/>
        </w:rPr>
      </w:pPr>
    </w:p>
    <w:p w14:paraId="54946F9F" w14:textId="77777777" w:rsidR="00905A10" w:rsidRPr="00FD1D74"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Raie- ja kokkuveoteenust osutatakse vastavalt raamlepingu tingimustele eduka pakkuja poolt pakutud hinnakoefitsiendi ja hankija hinnaraamistikus toodud hindade alusel. Lepingus on 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p>
    <w:p w14:paraId="5D8B11AF" w14:textId="77777777" w:rsidR="00905A10" w:rsidRPr="00FD1D74"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Edukaks tunnistatud pakkuja peab kasutama kogu raamlepingu kehtivusajal teenuste osutamiseks alljärgnevat tehnikat:</w:t>
      </w:r>
    </w:p>
    <w:p w14:paraId="3B324822" w14:textId="77777777" w:rsidR="00905A10" w:rsidRPr="00FD1D74" w:rsidRDefault="00905A10" w:rsidP="00905A10">
      <w:pPr>
        <w:pStyle w:val="111"/>
        <w:rPr>
          <w:rFonts w:ascii="Times New Roman" w:hAnsi="Times New Roman" w:cs="Times New Roman"/>
          <w:sz w:val="24"/>
          <w:szCs w:val="24"/>
        </w:rPr>
      </w:pPr>
      <w:r w:rsidRPr="00FD1D74">
        <w:rPr>
          <w:rFonts w:ascii="Times New Roman" w:hAnsi="Times New Roman" w:cs="Times New Roman"/>
          <w:sz w:val="24"/>
          <w:szCs w:val="24"/>
        </w:rPr>
        <w:t xml:space="preserve">üks spetsiaalne metsalangetustraktor ehk harvester (lubatud ei ole põllumajandusliku või muu traktori baasil ehitatud raietraktor), ja </w:t>
      </w:r>
    </w:p>
    <w:p w14:paraId="130606DD" w14:textId="77777777" w:rsidR="00905A10" w:rsidRPr="00FD1D74" w:rsidRDefault="00905A10" w:rsidP="00905A10">
      <w:pPr>
        <w:pStyle w:val="111"/>
        <w:rPr>
          <w:rFonts w:ascii="Times New Roman" w:hAnsi="Times New Roman" w:cs="Times New Roman"/>
          <w:sz w:val="24"/>
          <w:szCs w:val="24"/>
        </w:rPr>
      </w:pPr>
      <w:r w:rsidRPr="00FD1D74">
        <w:rPr>
          <w:rFonts w:ascii="Times New Roman" w:hAnsi="Times New Roman" w:cs="Times New Roman"/>
          <w:sz w:val="24"/>
          <w:szCs w:val="24"/>
        </w:rPr>
        <w:t xml:space="preserve">üks spetsiaalne metsakokkuveotraktor ehk forvarder (lubatud ei ole põllumajanduslik või muu traktor).  </w:t>
      </w:r>
    </w:p>
    <w:p w14:paraId="6941FCD6" w14:textId="77777777" w:rsidR="00905A10" w:rsidRPr="00FD1D74"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 xml:space="preserve">Nõuded tehnikale on Raamlepingu (hankelepingu) tingimused Lisas 12/1 – Nõuded tehnikale ja operaatoritele. </w:t>
      </w:r>
    </w:p>
    <w:p w14:paraId="238D928F" w14:textId="77777777" w:rsidR="00905A10" w:rsidRPr="00FD1D74"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Kogu lepinguperioodi kestel tuleb töötada tehnikaga, mis vastab hankija poolt käesolevates hankedokumentides, aga samuti vajadusel kaasajastatavates RMK keskkonna¬nõuetes ja RMK harvestermõõtmise juhendis esitatud tingimustele.</w:t>
      </w:r>
    </w:p>
    <w:p w14:paraId="093C323F" w14:textId="77777777" w:rsidR="00905A10" w:rsidRPr="00FD1D74"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 xml:space="preserve">Edukas pakkuja esitab ülevaatamiseks, täiendavaks nõuetele vastavuse kontrollimiseks ja vajadusel kalibreerimiseks teenuse osutamiseks kasutatavad harvesterid ja kokkuveo¬masinad. Masinate ettenäitamata jätmisel edukat pakkujat töid teostama ei lubata ning hankijal on õigus lepingust taganeda.  </w:t>
      </w:r>
    </w:p>
    <w:p w14:paraId="65605A80" w14:textId="77777777" w:rsidR="00905A10" w:rsidRPr="001E7C19" w:rsidRDefault="00905A10" w:rsidP="00905A10">
      <w:pPr>
        <w:pStyle w:val="11"/>
        <w:rPr>
          <w:rFonts w:ascii="Times New Roman" w:hAnsi="Times New Roman" w:cs="Times New Roman"/>
          <w:sz w:val="24"/>
          <w:szCs w:val="24"/>
        </w:rPr>
      </w:pPr>
      <w:r w:rsidRPr="00FD1D74">
        <w:rPr>
          <w:rFonts w:ascii="Times New Roman" w:hAnsi="Times New Roman" w:cs="Times New Roman"/>
          <w:sz w:val="24"/>
          <w:szCs w:val="24"/>
        </w:rPr>
        <w:t>Töövõtja on kohustatud teatama Tellijale hiljemalt 1 (üks) nädal enne  lepingujärgsete tööde algust harvesteri- või forvarderioperaatorite andmed ning samuti igakordselt enne uue harvesteri- või forvarderioperaatori</w:t>
      </w:r>
      <w:r w:rsidRPr="001E7C19">
        <w:rPr>
          <w:rFonts w:ascii="Times New Roman" w:hAnsi="Times New Roman" w:cs="Times New Roman"/>
          <w:sz w:val="24"/>
          <w:szCs w:val="24"/>
        </w:rPr>
        <w:t xml:space="preserve"> tööleasumist töötaja andmed ning esitama Tellijale kutset tõendavad kutsetunnistused. </w:t>
      </w:r>
    </w:p>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6C29C76C" w14:textId="672DF6DA" w:rsidR="006C261F" w:rsidRPr="001E7C19" w:rsidRDefault="001E7C19" w:rsidP="001E7C19">
      <w:pPr>
        <w:pStyle w:val="Pealkiri2"/>
        <w:numPr>
          <w:ilvl w:val="0"/>
          <w:numId w:val="6"/>
        </w:numPr>
        <w:spacing w:before="0" w:after="0"/>
        <w:jc w:val="both"/>
        <w:rPr>
          <w:sz w:val="24"/>
        </w:rPr>
      </w:pPr>
      <w:r w:rsidRPr="001E7C19">
        <w:rPr>
          <w:sz w:val="24"/>
        </w:rPr>
        <w:t>TAGATISED</w:t>
      </w:r>
    </w:p>
    <w:p w14:paraId="02A17A76" w14:textId="77777777" w:rsidR="006C261F" w:rsidRPr="001E7C19" w:rsidRDefault="006C261F"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 Pakkumuse esitamisel ja raamlepingu täitmisel on ette nähtud tagatised.</w:t>
      </w:r>
    </w:p>
    <w:p w14:paraId="42BEA5D8" w14:textId="23F0C39D" w:rsidR="006C261F" w:rsidRPr="001E7C19" w:rsidRDefault="006C261F"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Pakkuja peab pakkumuse esitamisel esitama pakkumuse tagatise suurusega </w:t>
      </w:r>
      <w:r w:rsidRPr="001E7C19">
        <w:rPr>
          <w:rFonts w:ascii="Times New Roman" w:hAnsi="Times New Roman" w:cs="Times New Roman"/>
          <w:b/>
          <w:sz w:val="24"/>
          <w:szCs w:val="24"/>
        </w:rPr>
        <w:t>15 000</w:t>
      </w:r>
      <w:r w:rsidRPr="001E7C19">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riigihankes </w:t>
      </w:r>
      <w:r w:rsidR="00F47F30" w:rsidRPr="001E7C19">
        <w:rPr>
          <w:rFonts w:ascii="Times New Roman" w:hAnsi="Times New Roman" w:cs="Times New Roman"/>
          <w:b/>
          <w:bCs/>
          <w:sz w:val="24"/>
          <w:szCs w:val="24"/>
        </w:rPr>
        <w:t>281227</w:t>
      </w:r>
      <w:r w:rsidR="00F47F30" w:rsidRPr="001E7C19">
        <w:rPr>
          <w:rFonts w:ascii="Times New Roman" w:hAnsi="Times New Roman" w:cs="Times New Roman"/>
          <w:sz w:val="24"/>
          <w:szCs w:val="24"/>
        </w:rPr>
        <w:t xml:space="preserve"> </w:t>
      </w:r>
      <w:r w:rsidRPr="001E7C19">
        <w:rPr>
          <w:rFonts w:ascii="Times New Roman" w:hAnsi="Times New Roman" w:cs="Times New Roman"/>
          <w:sz w:val="24"/>
          <w:szCs w:val="24"/>
        </w:rPr>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w:t>
      </w:r>
      <w:r w:rsidRPr="001E7C19">
        <w:rPr>
          <w:rFonts w:ascii="Times New Roman" w:hAnsi="Times New Roman" w:cs="Times New Roman"/>
          <w:sz w:val="24"/>
          <w:szCs w:val="24"/>
        </w:rPr>
        <w:lastRenderedPageBreak/>
        <w:t>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1E7C19" w:rsidRDefault="006C261F"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1E7C19" w:rsidRDefault="006C261F" w:rsidP="001E7C19">
      <w:pPr>
        <w:pStyle w:val="11"/>
        <w:rPr>
          <w:rFonts w:ascii="Times New Roman" w:hAnsi="Times New Roman" w:cs="Times New Roman"/>
          <w:sz w:val="24"/>
          <w:szCs w:val="24"/>
        </w:rPr>
      </w:pPr>
      <w:r w:rsidRPr="001E7C19">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1E7C19" w:rsidRDefault="006C261F" w:rsidP="001E7C19">
      <w:pPr>
        <w:pStyle w:val="111"/>
        <w:rPr>
          <w:rFonts w:ascii="Times New Roman" w:hAnsi="Times New Roman" w:cs="Times New Roman"/>
          <w:sz w:val="24"/>
          <w:szCs w:val="24"/>
        </w:rPr>
      </w:pPr>
      <w:r w:rsidRPr="001E7C19">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1E7C19" w:rsidRDefault="006C261F" w:rsidP="001E7C19">
      <w:pPr>
        <w:pStyle w:val="111"/>
        <w:rPr>
          <w:rFonts w:ascii="Times New Roman" w:hAnsi="Times New Roman" w:cs="Times New Roman"/>
          <w:sz w:val="24"/>
          <w:szCs w:val="24"/>
        </w:rPr>
      </w:pPr>
      <w:r w:rsidRPr="001E7C19">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1E7C19" w:rsidRDefault="006C261F" w:rsidP="001E7C19">
      <w:pPr>
        <w:pStyle w:val="111"/>
        <w:rPr>
          <w:rFonts w:ascii="Times New Roman" w:hAnsi="Times New Roman" w:cs="Times New Roman"/>
          <w:sz w:val="24"/>
          <w:szCs w:val="24"/>
        </w:rPr>
      </w:pPr>
      <w:r w:rsidRPr="001E7C19">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17433A82" w14:textId="77777777" w:rsidR="006C261F" w:rsidRPr="001E7C19" w:rsidRDefault="006C261F" w:rsidP="001E7C19">
      <w:pPr>
        <w:pStyle w:val="111"/>
        <w:rPr>
          <w:rFonts w:ascii="Times New Roman" w:hAnsi="Times New Roman" w:cs="Times New Roman"/>
          <w:sz w:val="24"/>
          <w:szCs w:val="24"/>
        </w:rPr>
      </w:pPr>
      <w:r w:rsidRPr="001E7C19">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61CE5B7" w14:textId="13C2876F" w:rsidR="006C261F" w:rsidRPr="001E7C19" w:rsidRDefault="006C261F"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Hankelepingu (raamlepingu) täitmise ajal peab töövõtjal olema tellijale antud hankelepingu täitmise aegne tagatis alljärgnevas tabelis toodud summas ning see sõltub pakutud hinnakoefitsiendi suurusest (madalama hinnakoefitsiendi puhul on tagatise summa suurem ja vastupidi). </w:t>
      </w:r>
      <w:r w:rsidRPr="001E7C19">
        <w:rPr>
          <w:rFonts w:ascii="Times New Roman" w:hAnsi="Times New Roman" w:cs="Times New Roman"/>
          <w:b/>
          <w:sz w:val="24"/>
          <w:szCs w:val="24"/>
          <w:u w:val="single"/>
        </w:rPr>
        <w:t>Tagatis antakse hiljemalt 14 päeva jooksul peale hankelepingu (raamlepingu) sõlmimist.</w:t>
      </w:r>
      <w:r w:rsidRPr="001E7C19">
        <w:rPr>
          <w:rFonts w:ascii="Times New Roman" w:hAnsi="Times New Roman" w:cs="Times New Roman"/>
          <w:sz w:val="24"/>
          <w:szCs w:val="24"/>
        </w:rPr>
        <w:t xml:space="preserve"> </w:t>
      </w:r>
      <w:r w:rsidRPr="001E7C19">
        <w:rPr>
          <w:rFonts w:ascii="Times New Roman" w:hAnsi="Times New Roman" w:cs="Times New Roman"/>
          <w:b/>
          <w:bCs/>
          <w:sz w:val="24"/>
          <w:szCs w:val="24"/>
          <w:u w:val="single"/>
        </w:rPr>
        <w:t>Nimetatud tähtaeg on nõustumusega sõlmitud hankelepingu (raamlepingu) täitma asumise tähtajaks RHS § 91 lg 1 kohaselt.</w:t>
      </w:r>
      <w:r w:rsidRPr="001E7C19">
        <w:rPr>
          <w:rFonts w:ascii="Times New Roman" w:hAnsi="Times New Roman" w:cs="Times New Roman"/>
          <w:sz w:val="24"/>
          <w:szCs w:val="24"/>
        </w:rPr>
        <w:t xml:space="preserve"> Tagatise tingimused on sätestatud hankelepingus (raamlepingus).</w:t>
      </w:r>
    </w:p>
    <w:p w14:paraId="1DA54C9D" w14:textId="073DA8DE" w:rsidR="006C261F" w:rsidRPr="001E7C19" w:rsidRDefault="006C261F" w:rsidP="001E7C19">
      <w:pPr>
        <w:pStyle w:val="111"/>
        <w:rPr>
          <w:rFonts w:ascii="Times New Roman" w:hAnsi="Times New Roman" w:cs="Times New Roman"/>
          <w:sz w:val="24"/>
          <w:szCs w:val="24"/>
        </w:rPr>
      </w:pPr>
      <w:r w:rsidRPr="001E7C19">
        <w:rPr>
          <w:rFonts w:ascii="Times New Roman" w:hAnsi="Times New Roman" w:cs="Times New Roman"/>
          <w:sz w:val="24"/>
          <w:szCs w:val="24"/>
        </w:rPr>
        <w:t>Lepinguaegse tagatise suurus:</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6C261F" w:rsidRPr="001E7C19" w14:paraId="5393D7DA" w14:textId="77777777" w:rsidTr="00156459">
        <w:trPr>
          <w:trHeight w:val="1244"/>
        </w:trPr>
        <w:tc>
          <w:tcPr>
            <w:tcW w:w="1029" w:type="dxa"/>
            <w:shd w:val="clear" w:color="auto" w:fill="auto"/>
            <w:vAlign w:val="center"/>
            <w:hideMark/>
          </w:tcPr>
          <w:p w14:paraId="6978E02D" w14:textId="77777777" w:rsidR="006C261F" w:rsidRPr="001E7C19" w:rsidRDefault="006C261F" w:rsidP="001E7C19">
            <w:pPr>
              <w:rPr>
                <w:szCs w:val="24"/>
                <w:lang w:eastAsia="et-EE"/>
              </w:rPr>
            </w:pPr>
            <w:r w:rsidRPr="001E7C19">
              <w:rPr>
                <w:szCs w:val="24"/>
              </w:rPr>
              <w:t>Koefitsient 0,900 ja rohkem</w:t>
            </w:r>
          </w:p>
        </w:tc>
        <w:tc>
          <w:tcPr>
            <w:tcW w:w="1311" w:type="dxa"/>
            <w:shd w:val="clear" w:color="auto" w:fill="auto"/>
            <w:vAlign w:val="center"/>
            <w:hideMark/>
          </w:tcPr>
          <w:p w14:paraId="5D3D0094" w14:textId="77777777" w:rsidR="006C261F" w:rsidRPr="001E7C19" w:rsidRDefault="006C261F" w:rsidP="001E7C19">
            <w:pPr>
              <w:rPr>
                <w:szCs w:val="24"/>
                <w:lang w:eastAsia="et-EE"/>
              </w:rPr>
            </w:pPr>
            <w:r w:rsidRPr="001E7C19">
              <w:rPr>
                <w:szCs w:val="24"/>
              </w:rPr>
              <w:t>Koefitsient 0,850-0,899</w:t>
            </w:r>
          </w:p>
        </w:tc>
        <w:tc>
          <w:tcPr>
            <w:tcW w:w="1134" w:type="dxa"/>
            <w:shd w:val="clear" w:color="auto" w:fill="auto"/>
            <w:vAlign w:val="center"/>
            <w:hideMark/>
          </w:tcPr>
          <w:p w14:paraId="084C0CA1" w14:textId="77777777" w:rsidR="006C261F" w:rsidRPr="001E7C19" w:rsidRDefault="006C261F" w:rsidP="001E7C19">
            <w:pPr>
              <w:pStyle w:val="Default"/>
            </w:pPr>
            <w:r w:rsidRPr="001E7C19">
              <w:t xml:space="preserve">Koefitsient </w:t>
            </w:r>
          </w:p>
          <w:p w14:paraId="688D2E50" w14:textId="77777777" w:rsidR="006C261F" w:rsidRPr="001E7C19" w:rsidRDefault="006C261F" w:rsidP="001E7C19">
            <w:pPr>
              <w:rPr>
                <w:szCs w:val="24"/>
                <w:lang w:eastAsia="et-EE"/>
              </w:rPr>
            </w:pPr>
            <w:r w:rsidRPr="001E7C19">
              <w:rPr>
                <w:szCs w:val="24"/>
              </w:rPr>
              <w:t>0,800-0,849</w:t>
            </w:r>
          </w:p>
        </w:tc>
        <w:tc>
          <w:tcPr>
            <w:tcW w:w="1134" w:type="dxa"/>
            <w:shd w:val="clear" w:color="auto" w:fill="auto"/>
            <w:vAlign w:val="center"/>
            <w:hideMark/>
          </w:tcPr>
          <w:p w14:paraId="0B36AB40" w14:textId="77777777" w:rsidR="006C261F" w:rsidRPr="001E7C19" w:rsidRDefault="006C261F" w:rsidP="001E7C19">
            <w:pPr>
              <w:pStyle w:val="Default"/>
            </w:pPr>
            <w:r w:rsidRPr="001E7C19">
              <w:t xml:space="preserve">Koefitsient </w:t>
            </w:r>
          </w:p>
          <w:p w14:paraId="4B547736" w14:textId="77777777" w:rsidR="006C261F" w:rsidRPr="001E7C19" w:rsidRDefault="006C261F" w:rsidP="001E7C19">
            <w:pPr>
              <w:rPr>
                <w:szCs w:val="24"/>
                <w:lang w:eastAsia="et-EE"/>
              </w:rPr>
            </w:pPr>
            <w:r w:rsidRPr="001E7C19">
              <w:rPr>
                <w:szCs w:val="24"/>
              </w:rPr>
              <w:t>0,750-0,799</w:t>
            </w:r>
          </w:p>
        </w:tc>
        <w:tc>
          <w:tcPr>
            <w:tcW w:w="1134" w:type="dxa"/>
            <w:shd w:val="clear" w:color="auto" w:fill="auto"/>
            <w:vAlign w:val="center"/>
            <w:hideMark/>
          </w:tcPr>
          <w:p w14:paraId="026E3EF8" w14:textId="77777777" w:rsidR="006C261F" w:rsidRPr="001E7C19" w:rsidRDefault="006C261F" w:rsidP="001E7C19">
            <w:pPr>
              <w:pStyle w:val="Default"/>
            </w:pPr>
            <w:r w:rsidRPr="001E7C19">
              <w:t xml:space="preserve">Koefitsient </w:t>
            </w:r>
          </w:p>
          <w:p w14:paraId="5A72563B" w14:textId="77777777" w:rsidR="006C261F" w:rsidRPr="001E7C19" w:rsidRDefault="006C261F" w:rsidP="001E7C19">
            <w:pPr>
              <w:rPr>
                <w:szCs w:val="24"/>
                <w:lang w:eastAsia="et-EE"/>
              </w:rPr>
            </w:pPr>
            <w:r w:rsidRPr="001E7C19">
              <w:rPr>
                <w:szCs w:val="24"/>
              </w:rPr>
              <w:t>0,700-0,749</w:t>
            </w:r>
          </w:p>
        </w:tc>
        <w:tc>
          <w:tcPr>
            <w:tcW w:w="1418" w:type="dxa"/>
            <w:shd w:val="clear" w:color="auto" w:fill="auto"/>
            <w:vAlign w:val="center"/>
            <w:hideMark/>
          </w:tcPr>
          <w:p w14:paraId="6F6300BB" w14:textId="77777777" w:rsidR="006C261F" w:rsidRPr="001E7C19" w:rsidRDefault="006C261F" w:rsidP="001E7C19">
            <w:pPr>
              <w:pStyle w:val="Default"/>
            </w:pPr>
            <w:r w:rsidRPr="001E7C19">
              <w:t xml:space="preserve">Koefitsient </w:t>
            </w:r>
          </w:p>
          <w:p w14:paraId="441FFAF9" w14:textId="77777777" w:rsidR="006C261F" w:rsidRPr="001E7C19" w:rsidRDefault="006C261F" w:rsidP="001E7C19">
            <w:pPr>
              <w:rPr>
                <w:szCs w:val="24"/>
                <w:lang w:eastAsia="et-EE"/>
              </w:rPr>
            </w:pPr>
            <w:r w:rsidRPr="001E7C19">
              <w:rPr>
                <w:szCs w:val="24"/>
              </w:rPr>
              <w:t>0,650-0,699</w:t>
            </w:r>
          </w:p>
        </w:tc>
        <w:tc>
          <w:tcPr>
            <w:tcW w:w="1275" w:type="dxa"/>
            <w:shd w:val="clear" w:color="auto" w:fill="auto"/>
            <w:vAlign w:val="center"/>
            <w:hideMark/>
          </w:tcPr>
          <w:p w14:paraId="19EBF1CF" w14:textId="77777777" w:rsidR="006C261F" w:rsidRPr="001E7C19" w:rsidRDefault="006C261F" w:rsidP="001E7C19">
            <w:pPr>
              <w:pStyle w:val="Default"/>
            </w:pPr>
            <w:r w:rsidRPr="001E7C19">
              <w:t xml:space="preserve">Koefitsient </w:t>
            </w:r>
          </w:p>
          <w:p w14:paraId="0BA85364" w14:textId="77777777" w:rsidR="006C261F" w:rsidRPr="001E7C19" w:rsidRDefault="006C261F" w:rsidP="001E7C19">
            <w:pPr>
              <w:rPr>
                <w:szCs w:val="24"/>
                <w:lang w:eastAsia="et-EE"/>
              </w:rPr>
            </w:pPr>
            <w:r w:rsidRPr="001E7C19">
              <w:rPr>
                <w:szCs w:val="24"/>
              </w:rPr>
              <w:t>alla 0,649</w:t>
            </w:r>
          </w:p>
        </w:tc>
      </w:tr>
      <w:tr w:rsidR="006C261F" w:rsidRPr="001E7C19" w14:paraId="3D36EBE3" w14:textId="77777777" w:rsidTr="00156459">
        <w:trPr>
          <w:trHeight w:val="495"/>
        </w:trPr>
        <w:tc>
          <w:tcPr>
            <w:tcW w:w="1029" w:type="dxa"/>
            <w:shd w:val="clear" w:color="000000" w:fill="C0C0C0"/>
            <w:noWrap/>
          </w:tcPr>
          <w:p w14:paraId="69CCACB2" w14:textId="77777777" w:rsidR="006C261F" w:rsidRPr="001E7C19" w:rsidRDefault="006C261F" w:rsidP="001E7C19">
            <w:pPr>
              <w:rPr>
                <w:rFonts w:eastAsiaTheme="minorHAnsi"/>
                <w:szCs w:val="24"/>
              </w:rPr>
            </w:pPr>
            <w:r w:rsidRPr="001E7C19">
              <w:rPr>
                <w:szCs w:val="24"/>
              </w:rPr>
              <w:t xml:space="preserve">   18 000    </w:t>
            </w:r>
          </w:p>
        </w:tc>
        <w:tc>
          <w:tcPr>
            <w:tcW w:w="1311" w:type="dxa"/>
            <w:shd w:val="clear" w:color="000000" w:fill="C0C0C0"/>
            <w:noWrap/>
          </w:tcPr>
          <w:p w14:paraId="6C0A1515" w14:textId="77777777" w:rsidR="006C261F" w:rsidRPr="001E7C19" w:rsidRDefault="006C261F" w:rsidP="001E7C19">
            <w:pPr>
              <w:rPr>
                <w:rFonts w:eastAsiaTheme="minorHAnsi"/>
                <w:szCs w:val="24"/>
              </w:rPr>
            </w:pPr>
            <w:r w:rsidRPr="001E7C19">
              <w:rPr>
                <w:szCs w:val="24"/>
              </w:rPr>
              <w:t xml:space="preserve">    20 000    </w:t>
            </w:r>
          </w:p>
        </w:tc>
        <w:tc>
          <w:tcPr>
            <w:tcW w:w="1134" w:type="dxa"/>
            <w:shd w:val="clear" w:color="000000" w:fill="C0C0C0"/>
            <w:noWrap/>
          </w:tcPr>
          <w:p w14:paraId="59D7C076" w14:textId="77777777" w:rsidR="006C261F" w:rsidRPr="001E7C19" w:rsidRDefault="006C261F" w:rsidP="001E7C19">
            <w:pPr>
              <w:rPr>
                <w:rFonts w:eastAsiaTheme="minorHAnsi"/>
                <w:szCs w:val="24"/>
              </w:rPr>
            </w:pPr>
            <w:r w:rsidRPr="001E7C19">
              <w:rPr>
                <w:szCs w:val="24"/>
              </w:rPr>
              <w:t xml:space="preserve">    23 000    </w:t>
            </w:r>
          </w:p>
        </w:tc>
        <w:tc>
          <w:tcPr>
            <w:tcW w:w="1134" w:type="dxa"/>
            <w:shd w:val="clear" w:color="000000" w:fill="C0C0C0"/>
            <w:noWrap/>
          </w:tcPr>
          <w:p w14:paraId="44FF5631" w14:textId="77777777" w:rsidR="006C261F" w:rsidRPr="001E7C19" w:rsidRDefault="006C261F" w:rsidP="001E7C19">
            <w:pPr>
              <w:rPr>
                <w:rFonts w:eastAsiaTheme="minorHAnsi"/>
                <w:szCs w:val="24"/>
              </w:rPr>
            </w:pPr>
            <w:r w:rsidRPr="001E7C19">
              <w:rPr>
                <w:szCs w:val="24"/>
              </w:rPr>
              <w:t xml:space="preserve">    26 000    </w:t>
            </w:r>
          </w:p>
        </w:tc>
        <w:tc>
          <w:tcPr>
            <w:tcW w:w="1134" w:type="dxa"/>
            <w:shd w:val="clear" w:color="000000" w:fill="C0C0C0"/>
            <w:noWrap/>
          </w:tcPr>
          <w:p w14:paraId="129A8226" w14:textId="77777777" w:rsidR="006C261F" w:rsidRPr="001E7C19" w:rsidRDefault="006C261F" w:rsidP="001E7C19">
            <w:pPr>
              <w:rPr>
                <w:rFonts w:eastAsiaTheme="minorHAnsi"/>
                <w:szCs w:val="24"/>
              </w:rPr>
            </w:pPr>
            <w:r w:rsidRPr="001E7C19">
              <w:rPr>
                <w:szCs w:val="24"/>
              </w:rPr>
              <w:t xml:space="preserve">    33 000    </w:t>
            </w:r>
          </w:p>
        </w:tc>
        <w:tc>
          <w:tcPr>
            <w:tcW w:w="1418" w:type="dxa"/>
            <w:shd w:val="clear" w:color="000000" w:fill="C0C0C0"/>
            <w:noWrap/>
          </w:tcPr>
          <w:p w14:paraId="4C7FB84E" w14:textId="77777777" w:rsidR="006C261F" w:rsidRPr="001E7C19" w:rsidRDefault="006C261F" w:rsidP="001E7C19">
            <w:pPr>
              <w:rPr>
                <w:rFonts w:eastAsiaTheme="minorHAnsi"/>
                <w:szCs w:val="24"/>
              </w:rPr>
            </w:pPr>
            <w:r w:rsidRPr="001E7C19">
              <w:rPr>
                <w:szCs w:val="24"/>
              </w:rPr>
              <w:t xml:space="preserve">    41 000    </w:t>
            </w:r>
          </w:p>
        </w:tc>
        <w:tc>
          <w:tcPr>
            <w:tcW w:w="1275" w:type="dxa"/>
            <w:shd w:val="clear" w:color="000000" w:fill="C0C0C0"/>
            <w:noWrap/>
          </w:tcPr>
          <w:p w14:paraId="5ACE73A2" w14:textId="77777777" w:rsidR="006C261F" w:rsidRPr="001E7C19" w:rsidRDefault="006C261F" w:rsidP="001E7C19">
            <w:pPr>
              <w:rPr>
                <w:rFonts w:eastAsiaTheme="minorHAnsi"/>
                <w:szCs w:val="24"/>
              </w:rPr>
            </w:pPr>
            <w:r w:rsidRPr="001E7C19">
              <w:rPr>
                <w:szCs w:val="24"/>
              </w:rPr>
              <w:t xml:space="preserve">      49 000    </w:t>
            </w:r>
          </w:p>
        </w:tc>
      </w:tr>
    </w:tbl>
    <w:p w14:paraId="7F043BBA" w14:textId="77777777" w:rsidR="006C261F" w:rsidRPr="001E7C19" w:rsidRDefault="006C261F" w:rsidP="001E7C19">
      <w:pPr>
        <w:pStyle w:val="Loendilik"/>
        <w:ind w:left="0"/>
        <w:rPr>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01D61B" w14:textId="56CC11C0" w:rsidR="00FC6D79" w:rsidRPr="001E7C19" w:rsidRDefault="00FC6D79" w:rsidP="001E7C19">
      <w:pPr>
        <w:pStyle w:val="11"/>
        <w:rPr>
          <w:rFonts w:ascii="Times New Roman" w:hAnsi="Times New Roman" w:cs="Times New Roman"/>
          <w:sz w:val="24"/>
          <w:szCs w:val="24"/>
        </w:rPr>
      </w:pPr>
      <w:r w:rsidRPr="001E7C19">
        <w:rPr>
          <w:rFonts w:ascii="Times New Roman" w:hAnsi="Times New Roman" w:cs="Times New Roman"/>
          <w:sz w:val="24"/>
          <w:szCs w:val="24"/>
        </w:rPr>
        <w:t>Pakkuja esitab RHR süsteemis</w:t>
      </w:r>
      <w:r w:rsidR="00820FC4" w:rsidRPr="001E7C19">
        <w:rPr>
          <w:rFonts w:ascii="Times New Roman" w:hAnsi="Times New Roman" w:cs="Times New Roman"/>
          <w:sz w:val="24"/>
          <w:szCs w:val="24"/>
        </w:rPr>
        <w:t xml:space="preserve"> </w:t>
      </w:r>
      <w:r w:rsidR="0092356F" w:rsidRPr="001E7C19">
        <w:rPr>
          <w:rFonts w:ascii="Times New Roman" w:hAnsi="Times New Roman" w:cs="Times New Roman"/>
          <w:sz w:val="24"/>
          <w:szCs w:val="24"/>
        </w:rPr>
        <w:t>täidetava pakkumuse maksumuse vormi</w:t>
      </w:r>
      <w:r w:rsidRPr="001E7C19">
        <w:rPr>
          <w:rFonts w:ascii="Times New Roman" w:hAnsi="Times New Roman" w:cs="Times New Roman"/>
          <w:sz w:val="24"/>
          <w:szCs w:val="24"/>
        </w:rPr>
        <w:t>.</w:t>
      </w:r>
    </w:p>
    <w:p w14:paraId="0AABAD11" w14:textId="77777777" w:rsidR="00AF3371" w:rsidRPr="001E7C19" w:rsidRDefault="00E85CA8" w:rsidP="001E7C19">
      <w:pPr>
        <w:pStyle w:val="11"/>
        <w:rPr>
          <w:rFonts w:ascii="Times New Roman" w:hAnsi="Times New Roman" w:cs="Times New Roman"/>
          <w:sz w:val="24"/>
          <w:szCs w:val="24"/>
        </w:rPr>
      </w:pPr>
      <w:r w:rsidRPr="001E7C19">
        <w:rPr>
          <w:rFonts w:ascii="Times New Roman" w:hAnsi="Times New Roman" w:cs="Times New Roman"/>
          <w:sz w:val="24"/>
          <w:szCs w:val="24"/>
        </w:rPr>
        <w:t>Pakkumuse maksumus peab olema lõplik ja sis</w:t>
      </w:r>
      <w:r w:rsidR="00BD5FC1" w:rsidRPr="001E7C19">
        <w:rPr>
          <w:rFonts w:ascii="Times New Roman" w:hAnsi="Times New Roman" w:cs="Times New Roman"/>
          <w:sz w:val="24"/>
          <w:szCs w:val="24"/>
        </w:rPr>
        <w:t xml:space="preserve">aldama kõiki kulusid vastavalt </w:t>
      </w:r>
      <w:r w:rsidR="00A61A5D" w:rsidRPr="001E7C19">
        <w:rPr>
          <w:rFonts w:ascii="Times New Roman" w:hAnsi="Times New Roman" w:cs="Times New Roman"/>
          <w:sz w:val="24"/>
          <w:szCs w:val="24"/>
        </w:rPr>
        <w:t>R</w:t>
      </w:r>
      <w:r w:rsidRPr="001E7C19">
        <w:rPr>
          <w:rFonts w:ascii="Times New Roman" w:hAnsi="Times New Roman" w:cs="Times New Roman"/>
          <w:sz w:val="24"/>
          <w:szCs w:val="24"/>
        </w:rPr>
        <w:t xml:space="preserve">HAD-le ning seal nimetamata kulusid, mis on vajalikud </w:t>
      </w:r>
      <w:r w:rsidR="00C30E73" w:rsidRPr="001E7C19">
        <w:rPr>
          <w:rFonts w:ascii="Times New Roman" w:hAnsi="Times New Roman" w:cs="Times New Roman"/>
          <w:sz w:val="24"/>
          <w:szCs w:val="24"/>
        </w:rPr>
        <w:t xml:space="preserve">näidisobjektil tööde </w:t>
      </w:r>
      <w:r w:rsidRPr="001E7C19">
        <w:rPr>
          <w:rFonts w:ascii="Times New Roman" w:hAnsi="Times New Roman" w:cs="Times New Roman"/>
          <w:sz w:val="24"/>
          <w:szCs w:val="24"/>
        </w:rPr>
        <w:t xml:space="preserve">nõuetekohaseks </w:t>
      </w:r>
      <w:r w:rsidR="00C30E73" w:rsidRPr="001E7C19">
        <w:rPr>
          <w:rFonts w:ascii="Times New Roman" w:hAnsi="Times New Roman" w:cs="Times New Roman"/>
          <w:sz w:val="24"/>
          <w:szCs w:val="24"/>
        </w:rPr>
        <w:t>teostamiseks</w:t>
      </w:r>
      <w:r w:rsidRPr="001E7C19">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08DAA0AB" w14:textId="77777777" w:rsidR="00202A33" w:rsidRPr="001E7C19" w:rsidRDefault="00E85CA8"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rPr>
        <w:lastRenderedPageBreak/>
        <w:t xml:space="preserve">Hankija ei hüvita </w:t>
      </w:r>
      <w:r w:rsidR="00C30E73" w:rsidRPr="001E7C19">
        <w:rPr>
          <w:rFonts w:ascii="Times New Roman" w:hAnsi="Times New Roman" w:cs="Times New Roman"/>
          <w:sz w:val="24"/>
          <w:szCs w:val="24"/>
        </w:rPr>
        <w:t>lepingu</w:t>
      </w:r>
      <w:r w:rsidR="00CF0598" w:rsidRPr="001E7C19">
        <w:rPr>
          <w:rFonts w:ascii="Times New Roman" w:hAnsi="Times New Roman" w:cs="Times New Roman"/>
          <w:sz w:val="24"/>
          <w:szCs w:val="24"/>
        </w:rPr>
        <w:t xml:space="preserve"> </w:t>
      </w:r>
      <w:r w:rsidRPr="001E7C19">
        <w:rPr>
          <w:rFonts w:ascii="Times New Roman" w:hAnsi="Times New Roman" w:cs="Times New Roman"/>
          <w:sz w:val="24"/>
          <w:szCs w:val="24"/>
        </w:rPr>
        <w:t>täitmisel pakkujale mingeid täiendavaid kulusid ega tee täiendavaid makseid.</w:t>
      </w:r>
    </w:p>
    <w:p w14:paraId="7524438A" w14:textId="562FF519" w:rsidR="003523CE" w:rsidRPr="001E7C19" w:rsidRDefault="006A3488"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rPr>
        <w:t>Huvitatud isik või pakkuja kannab hankemenetluses osalemisega seotud kogukulud ja -riski, kaasa arvatud vääramatu jõu (</w:t>
      </w:r>
      <w:r w:rsidRPr="001E7C19">
        <w:rPr>
          <w:rFonts w:ascii="Times New Roman" w:hAnsi="Times New Roman" w:cs="Times New Roman"/>
          <w:i/>
          <w:iCs/>
          <w:sz w:val="24"/>
          <w:szCs w:val="24"/>
        </w:rPr>
        <w:t>force majeure</w:t>
      </w:r>
      <w:r w:rsidRPr="001E7C19">
        <w:rPr>
          <w:rFonts w:ascii="Times New Roman" w:hAnsi="Times New Roman" w:cs="Times New Roman"/>
          <w:sz w:val="24"/>
          <w:szCs w:val="24"/>
        </w:rPr>
        <w:t>) toime võimalused.</w:t>
      </w:r>
    </w:p>
    <w:p w14:paraId="71FBE72E" w14:textId="6AEA2F97" w:rsidR="00202A33" w:rsidRPr="001E7C19"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3" w:name="_Toc66500800"/>
      <w:bookmarkEnd w:id="2"/>
      <w:r w:rsidRPr="001E7C19">
        <w:rPr>
          <w:rFonts w:ascii="Times New Roman" w:hAnsi="Times New Roman" w:cs="Times New Roman"/>
          <w:b/>
          <w:bCs/>
          <w:sz w:val="24"/>
          <w:szCs w:val="24"/>
        </w:rPr>
        <w:t>PAKKUMUSTE HINDAMINE</w:t>
      </w:r>
    </w:p>
    <w:p w14:paraId="165804E1" w14:textId="3981F42E" w:rsidR="00250C07" w:rsidRPr="001E7C19"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1E7C19" w:rsidRDefault="00B600B6" w:rsidP="001E7C19">
      <w:pPr>
        <w:pStyle w:val="11"/>
        <w:rPr>
          <w:rFonts w:ascii="Times New Roman" w:hAnsi="Times New Roman" w:cs="Times New Roman"/>
          <w:sz w:val="24"/>
          <w:szCs w:val="24"/>
        </w:rPr>
      </w:pPr>
      <w:bookmarkStart w:id="4" w:name="_Toc350958166"/>
      <w:bookmarkStart w:id="5" w:name="_Toc387321710"/>
      <w:bookmarkStart w:id="6" w:name="_Toc417991990"/>
      <w:bookmarkEnd w:id="3"/>
      <w:r w:rsidRPr="001E7C19">
        <w:rPr>
          <w:rFonts w:ascii="Times New Roman" w:hAnsi="Times New Roman" w:cs="Times New Roman"/>
          <w:sz w:val="24"/>
          <w:szCs w:val="24"/>
        </w:rPr>
        <w:t xml:space="preserve">Kui võrdselt </w:t>
      </w:r>
      <w:r w:rsidR="004A5051" w:rsidRPr="001E7C19">
        <w:rPr>
          <w:rFonts w:ascii="Times New Roman" w:hAnsi="Times New Roman" w:cs="Times New Roman"/>
          <w:sz w:val="24"/>
          <w:szCs w:val="24"/>
        </w:rPr>
        <w:t xml:space="preserve">väikseima hinnakoefitsiendiga </w:t>
      </w:r>
      <w:r w:rsidRPr="001E7C19">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72FB3B2B" w14:textId="25CE3B11" w:rsidR="00FA2377" w:rsidRPr="001E7C19" w:rsidRDefault="00385A37" w:rsidP="001E7C19">
      <w:pPr>
        <w:pStyle w:val="11"/>
        <w:rPr>
          <w:rFonts w:ascii="Times New Roman" w:hAnsi="Times New Roman" w:cs="Times New Roman"/>
          <w:sz w:val="24"/>
          <w:szCs w:val="24"/>
        </w:rPr>
      </w:pPr>
      <w:r w:rsidRPr="001E7C19">
        <w:rPr>
          <w:rFonts w:ascii="Times New Roman" w:hAnsi="Times New Roman" w:cs="Times New Roman"/>
          <w:sz w:val="24"/>
          <w:szCs w:val="24"/>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oendilik"/>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7"/>
    <w:bookmarkEnd w:id="8"/>
    <w:bookmarkEnd w:id="9"/>
    <w:bookmarkEnd w:id="10"/>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2613F9DD"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7465D8" w:rsidRPr="001E7C19">
        <w:rPr>
          <w:rFonts w:ascii="Times New Roman" w:hAnsi="Times New Roman" w:cs="Times New Roman"/>
          <w:sz w:val="24"/>
          <w:szCs w:val="24"/>
        </w:rPr>
        <w:t>r</w:t>
      </w:r>
      <w:r w:rsidRPr="001E7C19">
        <w:rPr>
          <w:rFonts w:ascii="Times New Roman" w:hAnsi="Times New Roman" w:cs="Times New Roman"/>
          <w:sz w:val="24"/>
          <w:szCs w:val="24"/>
        </w:rPr>
        <w:t>aamlepingu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1E7C19" w:rsidRDefault="00F36C52" w:rsidP="001E7C19">
      <w:pPr>
        <w:pStyle w:val="pealkiri"/>
        <w:numPr>
          <w:ilvl w:val="0"/>
          <w:numId w:val="6"/>
        </w:numPr>
        <w:spacing w:before="0" w:after="0"/>
        <w:rPr>
          <w:b/>
          <w:sz w:val="24"/>
          <w:szCs w:val="24"/>
        </w:rPr>
      </w:pPr>
      <w:r w:rsidRPr="001E7C19">
        <w:rPr>
          <w:b/>
          <w:sz w:val="24"/>
          <w:szCs w:val="24"/>
        </w:rPr>
        <w:t>RAAMLEPINGU SÕLMIMINE</w:t>
      </w:r>
    </w:p>
    <w:p w14:paraId="5ABC4D22" w14:textId="25CE41F9" w:rsidR="00F36C52" w:rsidRPr="001E7C19" w:rsidRDefault="00F36C52" w:rsidP="001E7C19">
      <w:pPr>
        <w:pStyle w:val="11"/>
        <w:rPr>
          <w:rFonts w:ascii="Times New Roman" w:hAnsi="Times New Roman" w:cs="Times New Roman"/>
          <w:sz w:val="24"/>
          <w:szCs w:val="24"/>
        </w:rPr>
      </w:pPr>
      <w:r w:rsidRPr="001E7C19">
        <w:rPr>
          <w:rFonts w:ascii="Times New Roman" w:hAnsi="Times New Roman" w:cs="Times New Roman"/>
          <w:sz w:val="24"/>
          <w:szCs w:val="24"/>
        </w:rPr>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1E7C19" w:rsidRDefault="00D220C5"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1E7C19" w:rsidRDefault="00D220C5" w:rsidP="001E7C19">
      <w:pPr>
        <w:pStyle w:val="11"/>
        <w:rPr>
          <w:rFonts w:ascii="Times New Roman" w:hAnsi="Times New Roman" w:cs="Times New Roman"/>
          <w:sz w:val="24"/>
          <w:szCs w:val="24"/>
        </w:rPr>
      </w:pPr>
      <w:r w:rsidRPr="001E7C19">
        <w:rPr>
          <w:rFonts w:ascii="Times New Roman" w:hAnsi="Times New Roman" w:cs="Times New Roman"/>
          <w:sz w:val="24"/>
          <w:szCs w:val="24"/>
        </w:rPr>
        <w:lastRenderedPageBreak/>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6EB62E31" w14:textId="7533C3EA" w:rsidR="00F36C52" w:rsidRPr="001E7C19" w:rsidRDefault="00D220C5"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7ECDF19E" w14:textId="77777777" w:rsidR="00F96107" w:rsidRPr="001E7C19"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1"/>
      <w:bookmarkEnd w:id="12"/>
      <w:bookmarkEnd w:id="13"/>
      <w:bookmarkEnd w:id="14"/>
    </w:p>
    <w:p w14:paraId="3CB9E7C5" w14:textId="77777777" w:rsidR="007A4548" w:rsidRPr="007A4548"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533362" w:rsidRDefault="007A4548" w:rsidP="007A4548">
      <w:pPr>
        <w:pStyle w:val="pealkiri"/>
        <w:numPr>
          <w:ilvl w:val="0"/>
          <w:numId w:val="6"/>
        </w:numPr>
        <w:spacing w:before="0" w:after="120"/>
        <w:ind w:left="567" w:hanging="567"/>
        <w:rPr>
          <w:b/>
          <w:sz w:val="24"/>
          <w:szCs w:val="24"/>
        </w:rPr>
      </w:pPr>
      <w:r w:rsidRPr="00533362">
        <w:rPr>
          <w:b/>
          <w:sz w:val="24"/>
          <w:szCs w:val="24"/>
        </w:rPr>
        <w:t>LISAD</w:t>
      </w:r>
    </w:p>
    <w:p w14:paraId="498DB204" w14:textId="123B52EB" w:rsidR="007A4548" w:rsidRPr="00533362" w:rsidRDefault="007A4548" w:rsidP="007A454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Lisa 1– </w:t>
      </w:r>
      <w:r w:rsidR="00471AF7" w:rsidRPr="00471AF7">
        <w:rPr>
          <w:rFonts w:ascii="Times New Roman" w:eastAsia="Arial" w:hAnsi="Times New Roman" w:cs="Times New Roman"/>
          <w:sz w:val="24"/>
          <w:szCs w:val="24"/>
        </w:rPr>
        <w:t>RMK varumispiirkonnad</w:t>
      </w:r>
    </w:p>
    <w:sectPr w:rsidR="007A4548" w:rsidRPr="00533362"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33C81" w14:textId="77777777" w:rsidR="00621C96" w:rsidRDefault="00621C96">
      <w:r>
        <w:separator/>
      </w:r>
    </w:p>
  </w:endnote>
  <w:endnote w:type="continuationSeparator" w:id="0">
    <w:p w14:paraId="1CA58BAA" w14:textId="77777777" w:rsidR="00621C96" w:rsidRDefault="00621C96">
      <w:r>
        <w:continuationSeparator/>
      </w:r>
    </w:p>
  </w:endnote>
  <w:endnote w:type="continuationNotice" w:id="1">
    <w:p w14:paraId="10156AA0" w14:textId="77777777" w:rsidR="00621C96" w:rsidRDefault="00621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EE32" w14:textId="77777777" w:rsidR="00621C96" w:rsidRDefault="00621C96">
      <w:r>
        <w:separator/>
      </w:r>
    </w:p>
  </w:footnote>
  <w:footnote w:type="continuationSeparator" w:id="0">
    <w:p w14:paraId="0B4FF884" w14:textId="77777777" w:rsidR="00621C96" w:rsidRDefault="00621C96">
      <w:r>
        <w:continuationSeparator/>
      </w:r>
    </w:p>
  </w:footnote>
  <w:footnote w:type="continuationNotice" w:id="1">
    <w:p w14:paraId="3A44A932" w14:textId="77777777" w:rsidR="00621C96" w:rsidRDefault="00621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2326</Words>
  <Characters>13497</Characters>
  <Application>Microsoft Office Word</Application>
  <DocSecurity>0</DocSecurity>
  <Lines>112</Lines>
  <Paragraphs>31</Paragraphs>
  <ScaleCrop>false</ScaleCrop>
  <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2024-05-17T13:23:00Z</dcterms:created>
  <dcterms:modified xsi:type="dcterms:W3CDTF">2024-06-12T10:58:00Z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